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hyperlink r:id="rId5" w:anchor="mediaplayer" w:tooltip="Смотреть в видеоуроке" w:history="1">
        <w:r>
          <w:rPr>
            <w:rStyle w:val="a3"/>
            <w:rFonts w:ascii="Times New Roman" w:eastAsia="Times New Roman" w:hAnsi="Times New Roman" w:cs="Times New Roman"/>
            <w:b/>
            <w:color w:val="auto"/>
            <w:sz w:val="26"/>
            <w:szCs w:val="26"/>
            <w:u w:val="none"/>
            <w:lang w:eastAsia="ru-RU"/>
          </w:rPr>
          <w:t>Бессоюзное сложное предложение</w:t>
        </w:r>
      </w:hyperlink>
    </w:p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Бессоюзное сложное предложение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– это предложение, части которого соединены по смыслу и с помощью интонации.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Части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бессоюзного сложного предложения находятся между собой в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различных смысловых отношениях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что отражается в постановке знаков препинания на письме, а в устной речи – на интонации.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бессоюзном сложном предложении ставятся следующие знаки препинания: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точка с запятой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запятая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тире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двоеточие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Смысловые отношения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 бессоюзных предложениях выражаются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менее четко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чем в союзных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 В бессоюзных сложных предложениях велика роль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интонации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hAnsi="Times New Roman" w:cs="Times New Roman"/>
          <w:sz w:val="26"/>
          <w:szCs w:val="26"/>
        </w:rPr>
      </w:pPr>
    </w:p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hyperlink r:id="rId6" w:anchor="mediaplayer" w:tooltip="Смотреть в видеоуроке" w:history="1">
        <w:r>
          <w:rPr>
            <w:rStyle w:val="a3"/>
            <w:rFonts w:ascii="Times New Roman" w:eastAsia="Times New Roman" w:hAnsi="Times New Roman" w:cs="Times New Roman"/>
            <w:b/>
            <w:color w:val="auto"/>
            <w:sz w:val="26"/>
            <w:szCs w:val="26"/>
            <w:u w:val="none"/>
            <w:lang w:eastAsia="ru-RU"/>
          </w:rPr>
          <w:t>Знаки препинания в бессоюзном предложении</w:t>
        </w:r>
      </w:hyperlink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Главный ведущий признак выбора запятой или точки с запятой –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смысловые отношения между частями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сложного предложения, а также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степень их распространенности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Запятая или точка с запятой ставится:</w:t>
      </w:r>
    </w:p>
    <w:p w:rsidR="006663FB" w:rsidRDefault="006663FB" w:rsidP="006663FB">
      <w:pPr>
        <w:numPr>
          <w:ilvl w:val="0"/>
          <w:numId w:val="1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между простыми предложениями можно вставить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союз 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необходимо поставить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запятую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или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точку с запятой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numPr>
          <w:ilvl w:val="0"/>
          <w:numId w:val="1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между двумя частями предложения отношения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перечисления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запятая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будет более уместна.</w:t>
      </w:r>
    </w:p>
    <w:p w:rsidR="006663FB" w:rsidRDefault="006663FB" w:rsidP="006663FB">
      <w:pPr>
        <w:numPr>
          <w:ilvl w:val="0"/>
          <w:numId w:val="1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Точка с запятой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ставится, если одно из простых предложений в составе бессоюзного сложного предложения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осложнено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то есть в нем уже есть другие знаки препинания (однородные члены, либо придаточные предложения, либо предложения с причастными и деепричастными оборотами).</w:t>
      </w:r>
    </w:p>
    <w:p w:rsidR="006663FB" w:rsidRDefault="006663FB" w:rsidP="006663FB">
      <w:pPr>
        <w:numPr>
          <w:ilvl w:val="0"/>
          <w:numId w:val="1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Двоеточие ставится:</w:t>
      </w:r>
    </w:p>
    <w:p w:rsidR="006663FB" w:rsidRDefault="006663FB" w:rsidP="006663FB">
      <w:pPr>
        <w:numPr>
          <w:ilvl w:val="0"/>
          <w:numId w:val="2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второе предложение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указывает на причину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того, о чем говорится в первом, то есть между частями можно вставить союзы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так как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потому что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numPr>
          <w:ilvl w:val="0"/>
          <w:numId w:val="2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Второе предложение (часто несколько предложений с перечислительной интонацией)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поясняет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первое, то есть между частями можно вставить слова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а именно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numPr>
          <w:ilvl w:val="0"/>
          <w:numId w:val="2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второе предложение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дополняет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слово или одно из словосочетаний первого (такие бессоюзные сложные предложения синонимичны сложноподчиненным предложениям с придаточными изъяснительными);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между частями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можно вставить союз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что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numPr>
          <w:ilvl w:val="0"/>
          <w:numId w:val="2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между простыми частями сложного бессоюзного предложения можно поставить слова: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и увидел, что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и услышал, что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numPr>
          <w:ilvl w:val="0"/>
          <w:numId w:val="2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Тире ставится:</w:t>
      </w:r>
    </w:p>
    <w:p w:rsidR="006663FB" w:rsidRDefault="006663FB" w:rsidP="006663FB">
      <w:pPr>
        <w:numPr>
          <w:ilvl w:val="0"/>
          <w:numId w:val="3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содержание второго предложения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противопоставляется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содержанию первого.</w:t>
      </w:r>
    </w:p>
    <w:p w:rsidR="006663FB" w:rsidRDefault="006663FB" w:rsidP="006663FB">
      <w:pPr>
        <w:numPr>
          <w:ilvl w:val="0"/>
          <w:numId w:val="3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Первое предложение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указывает на время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или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условие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того, о чем говорится во втором предложении.</w:t>
      </w:r>
    </w:p>
    <w:p w:rsidR="006663FB" w:rsidRDefault="006663FB" w:rsidP="006663FB">
      <w:pPr>
        <w:numPr>
          <w:ilvl w:val="0"/>
          <w:numId w:val="3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второе предложение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заключает в себе вывод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следствие из того, о чем говорится в первом предложении.</w:t>
      </w:r>
    </w:p>
    <w:p w:rsidR="006663FB" w:rsidRDefault="006663FB" w:rsidP="006663FB">
      <w:pPr>
        <w:numPr>
          <w:ilvl w:val="0"/>
          <w:numId w:val="3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второе предложение является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обозначением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неожиданного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результата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или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быстрой смены событий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numPr>
          <w:ilvl w:val="0"/>
          <w:numId w:val="3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второе предложение указывает на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сравнение.</w:t>
      </w:r>
    </w:p>
    <w:p w:rsidR="006663FB" w:rsidRDefault="006663FB" w:rsidP="006663FB">
      <w:pPr>
        <w:numPr>
          <w:ilvl w:val="0"/>
          <w:numId w:val="3"/>
        </w:numPr>
        <w:shd w:val="clear" w:color="auto" w:fill="FFFFFF"/>
        <w:spacing w:after="0" w:line="240" w:lineRule="auto"/>
        <w:ind w:left="-993" w:right="19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Если второе предложение является </w:t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присоединительным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Бессоюзные сложные предложения с запятой и точкой с запятой, с тире часто используются писателями, поэтами в художественных описаниях.</w:t>
      </w:r>
    </w:p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hAnsi="Times New Roman" w:cs="Times New Roman"/>
          <w:sz w:val="26"/>
          <w:szCs w:val="26"/>
        </w:rPr>
      </w:pPr>
    </w:p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hyperlink r:id="rId7" w:anchor="mediaplayer" w:tooltip="Смотреть в видеоуроке" w:history="1">
        <w:r>
          <w:rPr>
            <w:rStyle w:val="a3"/>
            <w:rFonts w:ascii="Times New Roman" w:eastAsia="Times New Roman" w:hAnsi="Times New Roman" w:cs="Times New Roman"/>
            <w:b/>
            <w:color w:val="auto"/>
            <w:sz w:val="26"/>
            <w:szCs w:val="26"/>
            <w:u w:val="none"/>
            <w:lang w:eastAsia="ru-RU"/>
          </w:rPr>
          <w:t>Заключение</w:t>
        </w:r>
      </w:hyperlink>
    </w:p>
    <w:p w:rsidR="006663FB" w:rsidRDefault="006663FB" w:rsidP="006663FB">
      <w:pPr>
        <w:shd w:val="clear" w:color="auto" w:fill="FFFFFF"/>
        <w:spacing w:after="0" w:line="240" w:lineRule="auto"/>
        <w:ind w:left="-993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Мы рассмотрели бессоюзные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сложные предложения, в которых части объединены в одно целое по смыслу, соединение их выражается интонацией и расстановкой знаков препинания.</w:t>
      </w:r>
    </w:p>
    <w:p w:rsidR="00CC53DA" w:rsidRPr="006663FB" w:rsidRDefault="006663FB" w:rsidP="006663F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sectPr w:rsidR="00CC53DA" w:rsidRPr="006663FB" w:rsidSect="006663F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34D42"/>
    <w:multiLevelType w:val="multilevel"/>
    <w:tmpl w:val="3FBA2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230EF4"/>
    <w:multiLevelType w:val="multilevel"/>
    <w:tmpl w:val="B388D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33A19"/>
    <w:multiLevelType w:val="multilevel"/>
    <w:tmpl w:val="262E0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CC"/>
    <w:rsid w:val="006663FB"/>
    <w:rsid w:val="00CC53DA"/>
    <w:rsid w:val="00D9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46CCD-7B52-4AD3-9524-0656938F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3F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6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urok.ru/lesson/russian/9-klass/bessoyuznye-slozhnye-predlozheniya/zakreplenie-i-obobschenie-materiala-po-teme-bessoyuznye-slozhnye-predlozhen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russian/9-klass/bessoyuznye-slozhnye-predlozheniya/zakreplenie-i-obobschenie-materiala-po-teme-bessoyuznye-slozhnye-predlozheniya" TargetMode="External"/><Relationship Id="rId5" Type="http://schemas.openxmlformats.org/officeDocument/2006/relationships/hyperlink" Target="https://interneturok.ru/lesson/russian/9-klass/bessoyuznye-slozhnye-predlozheniya/zakreplenie-i-obobschenie-materiala-po-teme-bessoyuznye-slozhnye-predlozheniy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</Words>
  <Characters>2899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2022-02-15T16:53:00Z</dcterms:created>
  <dcterms:modified xsi:type="dcterms:W3CDTF">2022-02-15T16:53:00Z</dcterms:modified>
</cp:coreProperties>
</file>